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default" w:ascii="Times New Roman" w:hAnsi="Times New Roman" w:eastAsia="宋体"/>
          <w:b/>
          <w:bCs/>
          <w:color w:val="auto"/>
          <w:sz w:val="32"/>
          <w:szCs w:val="32"/>
          <w:lang w:val="en-US" w:eastAsia="zh-CN"/>
        </w:rPr>
      </w:pPr>
      <w:r>
        <w:rPr>
          <w:rFonts w:hint="eastAsia" w:ascii="Times New Roman" w:hAnsi="Times New Roman" w:eastAsia="宋体"/>
          <w:b/>
          <w:bCs/>
          <w:color w:val="auto"/>
          <w:sz w:val="32"/>
          <w:szCs w:val="32"/>
          <w:lang w:val="en-US" w:eastAsia="zh-CN"/>
        </w:rPr>
        <w:t>中式烹调师中级工题库</w:t>
      </w:r>
    </w:p>
    <w:p>
      <w:pPr>
        <w:spacing w:line="460" w:lineRule="exact"/>
        <w:rPr>
          <w:rFonts w:hint="default" w:ascii="Times New Roman" w:hAnsi="Times New Roman" w:eastAsia="宋体"/>
          <w:b/>
          <w:bCs/>
          <w:color w:val="auto"/>
          <w:sz w:val="28"/>
          <w:szCs w:val="28"/>
          <w:lang w:val="en-US" w:eastAsia="zh-CN"/>
        </w:rPr>
      </w:pPr>
      <w:r>
        <w:rPr>
          <w:rFonts w:hint="eastAsia" w:ascii="Times New Roman" w:hAnsi="Times New Roman" w:eastAsia="宋体"/>
          <w:b/>
          <w:bCs/>
          <w:color w:val="auto"/>
          <w:sz w:val="28"/>
          <w:szCs w:val="28"/>
          <w:lang w:val="en-US" w:eastAsia="zh-CN"/>
        </w:rPr>
        <w:t>一选择题</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 鲜蛋的主要卫生问题是(     )引起的微生物污染。</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A、沙门菌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B、肉毒杆菌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C、副溶血性弧菌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D、变形杆菌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 不得使用(     )作为冷饮食品的原料。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A、葡萄糖浆</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B、绵白糖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C、糖蜜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D、淀粉糖浆</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 蟹、贝类水产品可用清水活养以便(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A、初加工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B、吐出体内污物</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C、腌制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D、切配</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4. 头菜是由(    )或较大整形的原料烹制而成的菜肴。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A、高档原料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B、低档原料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C、一般原料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D、植物性原料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 冷菜制作过程中应符合以下卫生要求但(     )除外。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A、操作人员保持手的清洁卫生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B、器具接触不洁物品可继续使用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C、工作台无尘、无蝇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D、菜刀、砧板、抹布等用前烫洗消毒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6. 热菜制作过程应符合以下卫生要求但(     )除外。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A、保持操作台面的卫生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B、烹调中烧熟煮透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C、合理控制火候，防止有害物质产生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D、过油、烤制用的原料加热前应加入味精</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 高级宴席的配制，凉菜应占比例为（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A、10%</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B、15%</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C、20%</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D、25%</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 下列菜品中属于热制冷食菜肴的是(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A、炖酥腰，蒜泥白肉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B、白斩鸡，卤牛肉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C、风鸡腿，凉拌海蜇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D、香酥鸭，拌海带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9. 脂肪的消化是从(     )开始的。</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A、口腔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B、食管</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C、胃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D、小肠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10. 人体消化蛋白质的酶主要由(     )分泌的。</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A、胃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B、小肠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C、胰腺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D、肝脏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11. 将经低温油焐制后的干制原料，投入180℃～200℃的高温油中，使之膨化的加工过程，属于(     )阶段。</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A、混合涨发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B、单纯油发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C、高温油成熟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D、高温油膨化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12. 面烤法是在(     )基础上的演进。</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A、泥烤法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B、明炉烤</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C、暗炉烤</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D、铁板烤</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13. 自然界食物中不单独存在的是(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A、麦芽糖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B、葡萄糖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C、半乳糖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D、乳糖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14. 涨发海参时切忌接触(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A、盐</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C、酒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15. 不能提供人体能量的营养素是(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A、蛋白质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B、脂肪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C、碳水化合物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D、维生素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16. 饮食产品价格结构中的毛利通常是指(     )之和。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A、利润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B、税金、利润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C、费用、税金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D、费用、税金、利润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17. 佝偻病主要是由于膳食中长期缺乏(     )而引起的。</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A、维生素Ａ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B、维生素D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C、维生素Ｅ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D、核黄素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18.  (     )中所含的尼克酸为结合型，因而不被人体吸收。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A、大米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B、小麦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C、玉米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D、高粱</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19. 老年人腰、腿痛，可能与(     )的缺乏有关。</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A、蛋白质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C、铁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20. 下列牛肉中，品质最佳的是(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A、牦牛肉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B、黄牛肉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C、水牛肉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D、奶牛肉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21. 冷菜正常的食用温度(     )味觉最敏感温度。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A、高于</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B、等于</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C、低于</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D、不同于</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22. 谷类原料是人体(     )的重要来源。</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A、蛋白质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B、脂肪</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C、碳水化合物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D、维生素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23. 酱制菜原料腌制的主要目的，是增加成菜(     )和使菜品颜色发红。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A、咸鲜的味感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B、味厚的感觉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C、干香的质感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D、软嫩的质感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24. (     )为碱性食物。</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A、韭菜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B、豆腐</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C、鱼肉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D、禽肉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25. 肉类原料中含有的(     )能够增加肉香味刺激胃液分泌。</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A、胆固醇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 、含氮浸出物</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C、糖原</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D、维生素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26. 鱼类脂肪中(     )含量较高。</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 卵磷脂</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B、糖脂</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C、不饱和脂肪酸</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D、饱和脂肪酸</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27. 味精是鲜味剂的代表，其主要成分是(     )，在强酸及碱性条件下或长时间高温加热，会使(     )分解，影响味精的呈鲜效果。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 谷氨酸钠；谷氨酸钠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 焦谷氨酸钠；焦谷氨酸钠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 谷氨酸钠；焦谷氨酸钠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 氯化钠；碳酸氢钠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28. 关于成本控制的意义，下列表述不正确的是(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A、加强成本控制是饮食企业提高竞争力的重要途径</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B、控制饮食成本是增加经济效益的重要手段</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C、成本控制是饮食企业发展壮大的基础</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D、饮食企业成本控制的核心是提高营业额</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29. 将鲜料制成干货原料用(    )方法，其风味散失最少。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A、晒干</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B、风干</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C、烘干</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D、炝干</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30. 传统上最适合做“狮子头”的原料是(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A、前夹肉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B、五花肉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C、后腿肉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D、外档肉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31. 菜单定价除考虑成本、利润和市场竞争外，还可以参考的信息是(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A、销售情况</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B、生产计划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C、企业声望</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D、生产标准</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32. 影响火候最主要的两个因素是(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A、火力和传热介质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B、火力和加热时间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C、加热时间和烹饪原料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D、传热介质和烹饪原料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33. 在下列鱼中，(    )在初加工时需褪沙。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A、青鱼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B、黑鱼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C、鲨鱼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D、鳕鱼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34. 制定标准食谱时，以估代秤，所填标准用量过大，厨房依照此生产容易引起(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A、实际耗用成本大于标准成本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B、实际耗用成本等于标准成本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C、实际耗用成本小于标准成本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D、实际投料小于标准投料量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35. 构成饮食产品成本的主要部分的是(     )和配料。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B、主料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C、净料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D、毛料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36. 在下列鱼中，(    )在初加工时不需褪鳞。</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A、鲫鱼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B、鲥鱼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C、鲤鱼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D、白鱼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37. 一料一档如果原料经加工处理后只有一种净料，计算时净料成本等于(     )和加工后半成品质量的比值。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A、购进原材料成本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B、净料成本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C、主料成本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D、主配料成本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38. 生料成本的核算程序为(     )→拆卸毛料→称量生料重量→确定下脚料和废弃料价值→计算生料单位成本。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A、计算原料采购总价</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B、确定原料采购程序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C、计算原料采购数量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D、计算原料采购种类</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39. 鸡身最嫩的一块肉是(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A、鸡脯肉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B、鸡翅肉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C、鸡牙子</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D、栗子肉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40. 净料单价是指毛料单价和(     )的比值。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A、净料率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B、成本率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C、毛利率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D、成本系数</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41. 玉兰片在涨发过程中忌用铁锅是防止原料(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A、腐烂</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B、发不透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C、变色</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D、有铁锈味</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42. 调味品平均成本的核算步骤为(     )。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A、计算调味品种类→估算各类调味品用量→计算调味品总价格→根据产品数量平均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B、估算各类调味品用量→计算调味品种类→计算调味品总价格→根据产品数量平均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C、计算调味品种类→计算调味品总价格→估算各类调味品用量→根据产品数量平均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D、计算调味品总价格→计算调味品种类→估算各类调味品用量→根据产品数量平均</w:t>
      </w:r>
    </w:p>
    <w:p>
      <w:pPr>
        <w:spacing w:line="460" w:lineRule="exact"/>
        <w:rPr>
          <w:rFonts w:hint="eastAsia" w:ascii="Times New Roman" w:hAnsi="Times New Roman" w:eastAsia="宋体"/>
          <w:color w:val="auto"/>
          <w:sz w:val="24"/>
          <w:szCs w:val="24"/>
          <w:lang w:val="en-US" w:eastAsia="zh-CN"/>
        </w:rPr>
      </w:pP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43. 宴会成本的核算主要是菜点成本的核算，菜点成本一般根据宴会毛利率计算宴会菜点和分类菜点的(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A、种类数量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B、结构比例</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C、销售价格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D、可容成本</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44. 既适合油发又适合水发的原料是(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A、鱼翅</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B、燕窝</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C、香菇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D、蹄筋</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45. 膳食中长期缺乏维生素D可引起(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A、坏血病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B、佝偻病</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C、夜盲症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D、癞疲病</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46. 从总体上看，饮食产品的定价策略包括(     )、价格折扣定价策略和心理定价策略。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A、产品生命周期定价策略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B、累积消费积分策略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C、团体优惠策略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D、渗透定价策略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47. 渗透价格策略是一种以(     )的策略。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A、低价格投入新产品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B、高价格投入新产品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C、折中价格投入新产品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D、满意价格投入新产品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48. 整鸡去骨的步骤是：划破颈皮，斩断颈骨，出鸡翅骨，出鸡身骨，出鸡腿骨，(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A、翻转鸡皮</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B、去内脏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C、去鸡头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D、去鸡爪</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49. 厨房卫生安全操作的基本内容主要包括(     )、厨房环境条件和厨房垃圾废物处理三个方面。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A、厨房岗位安排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B、厨房生产程序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C、食品卫生条件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D、厨房安全制度</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50. 生碱水的配制方法是将(       )500克和冷水20千克放在一起搅匀溶化即成。</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A、生石灰</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B、熟石灰</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C、石灰水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D、碱面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51. 冷菜间对工具设备的使用要求是(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A、集中管理统一发放</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B、专人负责专人管理</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C、集中管理自由使用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D、统一洗涤统一消毒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52. 营业结束后，冷菜间各种调味汁和原料的处置方法是(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A、转到热菜间继续使用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B、储藏于相应冷藏设备中</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C、拌入剩余冷菜制品中</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D、直接丢弃不用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53. 制作花式菜的常用基本手法是(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A、包、扎、卷</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B、直刀法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C、斜刀法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D、平刀法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54. 由于厨房(     )的原因导致电气设备的工作环境比较恶劣。</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A、生产流程负责难以监管</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B、设备种类多样布线复杂</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C、湿度大和油烟蒸汽较浓</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D、人员流动频繁缺乏管理</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55. 员工在进入厨房操作液化气灶时，首道工序是(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A、检查灶具是否漏气</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B、检查灶具是否齐备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C、打开灶具调整火力</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D、打开灶具排风设备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56. 厨房液化气灶在每日厨房生产结束时应完成的工序是(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A、关闭气源总阀门→关闭各灶具阀门→关闭厨房总供气阀门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B、关闭气源总阀门→关闭厨房总供气阀门→关闭各灶具阀门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C、关闭各灶具阀门→关闭厨房总供气阀门→关闭气源总阀门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D、关闭厨房总供气阀门→关闭各灶具阀门→关闭气源总阀门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57. 最适合做“回锅肉”的原料是(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A、后臀肉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B、梅条肉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C、五花肉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D、夹心肉</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58. 电磁炉应放置在(     )的平面上使用。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A、紧邻水池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B、紧邻炉灶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C、倾斜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D、平稳</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59. 电磁炉的炒菜锅在使用后正确的操作办法是(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A、不要置于炉面上</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B、直接放回炉面上</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C、洗涤后放回炉面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D、冷却后放回炉面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60. 常见餐具消毒柜的类型包括(     )和远红外加热式两种。</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A、直接通气式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B、间接通气式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C、紫外线消毒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D、自动加热式</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61. 家畜类原料常用的清洗加工方法有：(     )、盐醋搓洗法、热水烫洗法、刮剥洗涤法、灌水冲洗法和清水漂洗法等。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A、里外翻洗法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B、削皮清洗法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C、去瓤掏洗法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D、去除杂质法</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62. 加入适量的盐和醋，(     )原料，是盐醋搓洗法的关键。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A、反复揉搓</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B、涂抹</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C、短时间浸渍</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D、长时间浸渍</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63. 刮剥洗涤法是一种除去家畜类原料外皮污垢和(     )的清洗加工方法。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A、黏液血污</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B、血衣血筋</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C、硬毛皮膜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D、结缔组织</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64. 生搓法一般用作(     )的无鳞鱼黏液去除，这样可保持原料的脆嫩口感。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A、生炒菜品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B、熟炒菜品</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C、红焖菜肴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D、清炖菜肴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65. 油发就是把(     )放在适量的热油中，经过加热使之膨胀松脆，成为半熟或全熟的半成品的发料方法。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A、干货原料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B、鲜活原料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C、干蹄筋类</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D、干鱼肚类</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66. 原料干制时失去的水分主要是(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A、自由水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B、分子水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C、液态水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D、纯净水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67. 干制原料通过油的(     )，汽化的水分主要是结合水，又称结构水。</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A、焐发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B、炸发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C、焖发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D、浸发</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68. 低温油焐制干料时的油温，应控制在(     )之间为宜。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A、100℃～115℃</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B、80℃～90℃</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C、70℃～80℃</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D、60℃～70℃</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69. 高温油膨化阶段的干制原料，是经过(     )后的干制原料。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A、低温油焐制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B、洗涤干净</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C、温水浸泡</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D、长时间煮制</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70. 下面是人体内的必需氨基酸但(     )除外。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A、亮氨酸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B、赖氨酸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C、蛋氨酸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D、丝氨酸</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71. 烹饪原料食用价值的高低主要取决于安全性、(     )、可口性三个方面。</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A、营养性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B、价格性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C、季节性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D、地区性</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72. 食用安全性、营养性、适口性是决定烹饪原料(     )高低的主要因素。</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A、价格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B、知名度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C、利用率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D、食用价值</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73. 按烹饪原料的来源属性，可将烹饪原料分为(     )、植物性原料、矿物性原料和人工合成原料四大类。</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A、鲜活原料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B、干货原料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C、复制品原料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D、动物性原料</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74. 可能会减少钙消化吸收的营养素是(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A、蛋白质</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B、乳糖</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C、植酸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D、维生素Ｄ</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75. 不宜用来烹调狗肉的烹调方法是(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A、炖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B、烧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C、焖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D、炒</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76. 鳊鱼是我国淡水鱼中比较著名的品种之一，以(     )季节所产最肥。</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A、秋季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B、夏季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C、春季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D、冬末春初</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77. 龙虾是体形较大的海水虾，以(     )沿海海域产量较高。</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A、江苏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B、山东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C、辽宁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D、广东</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78. 虾蟹属于(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A、甲壳类动物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B、软体类动物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C、棘皮类动物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D、腔肠类动物</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79. 冷藏鲜蛋时的温度应控制在(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A、10℃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B、5℃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C、0℃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D、-5℃</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80. 用蛋黄制作蛋黄酱，是利用了其(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A、黏合作用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B、起泡作用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 xml:space="preserve">C、胶体作用   </w:t>
      </w:r>
    </w:p>
    <w:p>
      <w:pPr>
        <w:spacing w:line="460" w:lineRule="exact"/>
        <w:rPr>
          <w:rFonts w:hint="eastAsia" w:ascii="Times New Roman" w:hAnsi="Times New Roman" w:eastAsia="宋体"/>
          <w:color w:val="auto"/>
          <w:sz w:val="24"/>
          <w:szCs w:val="24"/>
          <w:lang w:val="en-US" w:eastAsia="zh-CN"/>
        </w:rPr>
      </w:pPr>
      <w:r>
        <w:rPr>
          <w:rFonts w:hint="eastAsia" w:ascii="Times New Roman" w:hAnsi="Times New Roman" w:eastAsia="宋体"/>
          <w:color w:val="auto"/>
          <w:sz w:val="24"/>
          <w:szCs w:val="24"/>
          <w:lang w:val="en-US" w:eastAsia="zh-CN"/>
        </w:rPr>
        <w:t>D、乳化作用</w:t>
      </w:r>
    </w:p>
    <w:p>
      <w:pPr>
        <w:rPr>
          <w:rFonts w:hint="eastAsia"/>
          <w:color w:val="auto"/>
          <w:sz w:val="24"/>
          <w:szCs w:val="24"/>
          <w:lang w:val="en-US" w:eastAsia="zh-CN"/>
        </w:rPr>
      </w:pPr>
    </w:p>
    <w:p>
      <w:pPr>
        <w:rPr>
          <w:rFonts w:hint="eastAsia"/>
          <w:color w:val="auto"/>
          <w:sz w:val="24"/>
          <w:szCs w:val="24"/>
          <w:lang w:val="en-US" w:eastAsia="zh-CN"/>
        </w:rPr>
      </w:pPr>
      <w:r>
        <w:rPr>
          <w:rFonts w:hint="eastAsia"/>
          <w:b/>
          <w:bCs/>
          <w:color w:val="auto"/>
          <w:sz w:val="28"/>
          <w:szCs w:val="28"/>
          <w:lang w:val="en-US" w:eastAsia="zh-CN"/>
        </w:rPr>
        <w:t>二．判断题</w:t>
      </w:r>
    </w:p>
    <w:p>
      <w:pPr>
        <w:rPr>
          <w:rFonts w:hint="eastAsia"/>
          <w:color w:val="auto"/>
          <w:sz w:val="24"/>
          <w:szCs w:val="24"/>
          <w:lang w:val="en-US" w:eastAsia="zh-CN"/>
        </w:rPr>
      </w:pPr>
      <w:r>
        <w:rPr>
          <w:rFonts w:hint="eastAsia"/>
          <w:color w:val="auto"/>
          <w:sz w:val="24"/>
          <w:szCs w:val="24"/>
          <w:lang w:val="en-US" w:eastAsia="zh-CN"/>
        </w:rPr>
        <w:t>1.(    )《随园食单》不只是名菜介绍，而且包括了烹饪原理，系一部有世界影响的烹饪专著。</w:t>
      </w:r>
    </w:p>
    <w:p>
      <w:pPr>
        <w:rPr>
          <w:rFonts w:hint="eastAsia"/>
          <w:color w:val="auto"/>
          <w:sz w:val="24"/>
          <w:szCs w:val="24"/>
          <w:lang w:val="en-US" w:eastAsia="zh-CN"/>
        </w:rPr>
      </w:pPr>
      <w:r>
        <w:rPr>
          <w:rFonts w:hint="eastAsia"/>
          <w:color w:val="auto"/>
          <w:sz w:val="24"/>
          <w:szCs w:val="24"/>
          <w:lang w:val="en-US" w:eastAsia="zh-CN"/>
        </w:rPr>
        <w:t>2.(    )大豆蛋白质是原料中最优良的蛋白质。</w:t>
      </w:r>
    </w:p>
    <w:p>
      <w:pPr>
        <w:rPr>
          <w:rFonts w:hint="eastAsia"/>
          <w:color w:val="auto"/>
          <w:sz w:val="24"/>
          <w:szCs w:val="24"/>
          <w:lang w:val="en-US" w:eastAsia="zh-CN"/>
        </w:rPr>
      </w:pPr>
      <w:r>
        <w:rPr>
          <w:rFonts w:hint="eastAsia"/>
          <w:color w:val="auto"/>
          <w:sz w:val="24"/>
          <w:szCs w:val="24"/>
          <w:lang w:val="en-US" w:eastAsia="zh-CN"/>
        </w:rPr>
        <w:t>3.(    )进食酸性水果不会引起机体酸碱平衡的紊乱。</w:t>
      </w:r>
    </w:p>
    <w:p>
      <w:pPr>
        <w:rPr>
          <w:rFonts w:hint="eastAsia"/>
          <w:color w:val="auto"/>
          <w:sz w:val="24"/>
          <w:szCs w:val="24"/>
          <w:lang w:val="en-US" w:eastAsia="zh-CN"/>
        </w:rPr>
      </w:pPr>
      <w:r>
        <w:rPr>
          <w:rFonts w:hint="eastAsia"/>
          <w:color w:val="auto"/>
          <w:sz w:val="24"/>
          <w:szCs w:val="24"/>
          <w:lang w:val="en-US" w:eastAsia="zh-CN"/>
        </w:rPr>
        <w:t>4.(    )在原料初步熟处理中，将原料放在温油或热油内略为加热一下的方法称为炸。</w:t>
      </w:r>
    </w:p>
    <w:p>
      <w:pPr>
        <w:rPr>
          <w:rFonts w:hint="eastAsia"/>
          <w:color w:val="auto"/>
          <w:sz w:val="24"/>
          <w:szCs w:val="24"/>
          <w:lang w:val="en-US" w:eastAsia="zh-CN"/>
        </w:rPr>
      </w:pPr>
      <w:r>
        <w:rPr>
          <w:rFonts w:hint="eastAsia"/>
          <w:color w:val="auto"/>
          <w:sz w:val="24"/>
          <w:szCs w:val="24"/>
          <w:lang w:val="en-US" w:eastAsia="zh-CN"/>
        </w:rPr>
        <w:t>5.(    )在配菜中，相似相配，这是形配合的原则，即丝配丝.条配条.片配片.丁配丁.块配块，这一原则适用于所有的菜肴。</w:t>
      </w:r>
    </w:p>
    <w:p>
      <w:pPr>
        <w:rPr>
          <w:rFonts w:hint="eastAsia"/>
          <w:color w:val="auto"/>
          <w:sz w:val="24"/>
          <w:szCs w:val="24"/>
          <w:lang w:val="en-US" w:eastAsia="zh-CN"/>
        </w:rPr>
      </w:pPr>
      <w:r>
        <w:rPr>
          <w:rFonts w:hint="eastAsia"/>
          <w:color w:val="auto"/>
          <w:sz w:val="24"/>
          <w:szCs w:val="24"/>
          <w:lang w:val="en-US" w:eastAsia="zh-CN"/>
        </w:rPr>
        <w:t>6.(    )通过对原料的刀工美化，可使菜品中的原料形态得到确定。</w:t>
      </w:r>
    </w:p>
    <w:p>
      <w:pPr>
        <w:rPr>
          <w:rFonts w:hint="eastAsia"/>
          <w:color w:val="auto"/>
          <w:sz w:val="24"/>
          <w:szCs w:val="24"/>
          <w:lang w:val="en-US" w:eastAsia="zh-CN"/>
        </w:rPr>
      </w:pPr>
      <w:r>
        <w:rPr>
          <w:rFonts w:hint="eastAsia"/>
          <w:color w:val="auto"/>
          <w:sz w:val="24"/>
          <w:szCs w:val="24"/>
          <w:lang w:val="en-US" w:eastAsia="zh-CN"/>
        </w:rPr>
        <w:t>7.(    )烹饪的基本工艺流程中，精加工工序涉及的岗位是砧板。</w:t>
      </w:r>
    </w:p>
    <w:p>
      <w:pPr>
        <w:rPr>
          <w:rFonts w:hint="eastAsia"/>
          <w:color w:val="auto"/>
          <w:sz w:val="24"/>
          <w:szCs w:val="24"/>
          <w:lang w:val="en-US" w:eastAsia="zh-CN"/>
        </w:rPr>
      </w:pPr>
      <w:r>
        <w:rPr>
          <w:rFonts w:hint="eastAsia"/>
          <w:color w:val="auto"/>
          <w:sz w:val="24"/>
          <w:szCs w:val="24"/>
          <w:lang w:val="en-US" w:eastAsia="zh-CN"/>
        </w:rPr>
        <w:t>8.(    )紫菜呈叶状，藻体宽厚，色泽深褐，并含有丰富的碘。</w:t>
      </w:r>
    </w:p>
    <w:p>
      <w:pPr>
        <w:rPr>
          <w:rFonts w:hint="eastAsia"/>
          <w:color w:val="auto"/>
          <w:sz w:val="24"/>
          <w:szCs w:val="24"/>
          <w:lang w:val="en-US" w:eastAsia="zh-CN"/>
        </w:rPr>
      </w:pPr>
      <w:r>
        <w:rPr>
          <w:rFonts w:hint="eastAsia"/>
          <w:color w:val="auto"/>
          <w:sz w:val="24"/>
          <w:szCs w:val="24"/>
          <w:lang w:val="en-US" w:eastAsia="zh-CN"/>
        </w:rPr>
        <w:t>9.(    )推行安全系统工程，就可以避免伤亡事故。</w:t>
      </w:r>
    </w:p>
    <w:p>
      <w:pPr>
        <w:rPr>
          <w:rFonts w:hint="eastAsia"/>
          <w:color w:val="auto"/>
          <w:sz w:val="24"/>
          <w:szCs w:val="24"/>
          <w:lang w:val="en-US" w:eastAsia="zh-CN"/>
        </w:rPr>
      </w:pPr>
      <w:r>
        <w:rPr>
          <w:rFonts w:hint="eastAsia"/>
          <w:color w:val="auto"/>
          <w:sz w:val="24"/>
          <w:szCs w:val="24"/>
          <w:lang w:val="en-US" w:eastAsia="zh-CN"/>
        </w:rPr>
        <w:t>0.(    )强化食物中的营养强化剂，数量越多，越有利于人体健康</w:t>
      </w:r>
    </w:p>
    <w:p>
      <w:pPr>
        <w:rPr>
          <w:rFonts w:hint="eastAsia"/>
          <w:color w:val="auto"/>
          <w:sz w:val="24"/>
          <w:szCs w:val="24"/>
          <w:lang w:val="en-US" w:eastAsia="zh-CN"/>
        </w:rPr>
      </w:pPr>
      <w:r>
        <w:rPr>
          <w:rFonts w:hint="eastAsia"/>
          <w:color w:val="auto"/>
          <w:sz w:val="24"/>
          <w:szCs w:val="24"/>
          <w:lang w:val="en-US" w:eastAsia="zh-CN"/>
        </w:rPr>
        <w:t>11.(    )澄粉没有烫熟将使澄粉面坯品种出现成品破裂现象。</w:t>
      </w:r>
    </w:p>
    <w:p>
      <w:pPr>
        <w:rPr>
          <w:rFonts w:hint="eastAsia"/>
          <w:color w:val="auto"/>
          <w:sz w:val="24"/>
          <w:szCs w:val="24"/>
          <w:lang w:val="en-US" w:eastAsia="zh-CN"/>
        </w:rPr>
      </w:pPr>
      <w:r>
        <w:rPr>
          <w:rFonts w:hint="eastAsia"/>
          <w:color w:val="auto"/>
          <w:sz w:val="24"/>
          <w:szCs w:val="24"/>
          <w:lang w:val="en-US" w:eastAsia="zh-CN"/>
        </w:rPr>
        <w:t>12.(    )电器设备保护接地的做法是将电器外壳直接与地面相接触。</w:t>
      </w:r>
    </w:p>
    <w:p>
      <w:pPr>
        <w:rPr>
          <w:rFonts w:hint="eastAsia"/>
          <w:color w:val="auto"/>
          <w:sz w:val="24"/>
          <w:szCs w:val="24"/>
          <w:lang w:val="en-US" w:eastAsia="zh-CN"/>
        </w:rPr>
      </w:pPr>
      <w:r>
        <w:rPr>
          <w:rFonts w:hint="eastAsia"/>
          <w:color w:val="auto"/>
          <w:sz w:val="24"/>
          <w:szCs w:val="24"/>
          <w:lang w:val="en-US" w:eastAsia="zh-CN"/>
        </w:rPr>
        <w:t>13.(    )“五谷为养”是指维持人体生命的活动所必需的养分主要由谷类和豆类食物来提供。</w:t>
      </w:r>
    </w:p>
    <w:p>
      <w:pPr>
        <w:rPr>
          <w:rFonts w:hint="eastAsia"/>
          <w:color w:val="auto"/>
          <w:sz w:val="24"/>
          <w:szCs w:val="24"/>
          <w:lang w:val="en-US" w:eastAsia="zh-CN"/>
        </w:rPr>
      </w:pPr>
      <w:r>
        <w:rPr>
          <w:rFonts w:hint="eastAsia"/>
          <w:color w:val="auto"/>
          <w:sz w:val="24"/>
          <w:szCs w:val="24"/>
          <w:lang w:val="en-US" w:eastAsia="zh-CN"/>
        </w:rPr>
        <w:t>14.(    )脆皮大肠在煮制时一定煮透，先用清水煮，再用白卤水煮入味，然后才能挂糖浆。</w:t>
      </w:r>
    </w:p>
    <w:p>
      <w:pPr>
        <w:rPr>
          <w:rFonts w:hint="eastAsia"/>
          <w:color w:val="auto"/>
          <w:sz w:val="24"/>
          <w:szCs w:val="24"/>
          <w:lang w:val="en-US" w:eastAsia="zh-CN"/>
        </w:rPr>
      </w:pPr>
      <w:r>
        <w:rPr>
          <w:rFonts w:hint="eastAsia"/>
          <w:color w:val="auto"/>
          <w:sz w:val="24"/>
          <w:szCs w:val="24"/>
          <w:lang w:val="en-US" w:eastAsia="zh-CN"/>
        </w:rPr>
        <w:t>15.(    )多数水溶性蛋白质受热后都会产生凝固作用。</w:t>
      </w:r>
    </w:p>
    <w:p>
      <w:pPr>
        <w:rPr>
          <w:rFonts w:hint="eastAsia"/>
          <w:color w:val="auto"/>
          <w:sz w:val="24"/>
          <w:szCs w:val="24"/>
          <w:lang w:val="en-US" w:eastAsia="zh-CN"/>
        </w:rPr>
      </w:pPr>
      <w:r>
        <w:rPr>
          <w:rFonts w:hint="eastAsia"/>
          <w:color w:val="auto"/>
          <w:sz w:val="24"/>
          <w:szCs w:val="24"/>
          <w:lang w:val="en-US" w:eastAsia="zh-CN"/>
        </w:rPr>
        <w:t>16.(    )调味品按形状分可分为粉状.粒状.液状.稀酱状.浓酱状.油状等六大类。</w:t>
      </w:r>
    </w:p>
    <w:p>
      <w:pPr>
        <w:rPr>
          <w:rFonts w:hint="eastAsia"/>
          <w:color w:val="auto"/>
          <w:sz w:val="24"/>
          <w:szCs w:val="24"/>
          <w:lang w:val="en-US" w:eastAsia="zh-CN"/>
        </w:rPr>
      </w:pPr>
      <w:r>
        <w:rPr>
          <w:rFonts w:hint="eastAsia"/>
          <w:color w:val="auto"/>
          <w:sz w:val="24"/>
          <w:szCs w:val="24"/>
          <w:lang w:val="en-US" w:eastAsia="zh-CN"/>
        </w:rPr>
        <w:t>17..(    )红色芡汁多以酱油.酱品为调色原料。</w:t>
      </w:r>
    </w:p>
    <w:p>
      <w:pPr>
        <w:rPr>
          <w:rFonts w:hint="eastAsia"/>
          <w:color w:val="auto"/>
          <w:sz w:val="24"/>
          <w:szCs w:val="24"/>
          <w:lang w:val="en-US" w:eastAsia="zh-CN"/>
        </w:rPr>
      </w:pPr>
      <w:r>
        <w:rPr>
          <w:rFonts w:hint="eastAsia"/>
          <w:color w:val="auto"/>
          <w:sz w:val="24"/>
          <w:szCs w:val="24"/>
          <w:lang w:val="en-US" w:eastAsia="zh-CN"/>
        </w:rPr>
        <w:t>18.(    )按中毒病因划分，食物中毒分为细菌性食物中毒.有毒动植物食物中毒.化学性食物中毒和霉菌毒素(真菌)食物中毒等四大类。</w:t>
      </w:r>
    </w:p>
    <w:p>
      <w:pPr>
        <w:rPr>
          <w:rFonts w:hint="eastAsia"/>
          <w:color w:val="auto"/>
          <w:sz w:val="24"/>
          <w:szCs w:val="24"/>
          <w:lang w:val="en-US" w:eastAsia="zh-CN"/>
        </w:rPr>
      </w:pPr>
      <w:r>
        <w:rPr>
          <w:rFonts w:hint="eastAsia"/>
          <w:color w:val="auto"/>
          <w:sz w:val="24"/>
          <w:szCs w:val="24"/>
          <w:lang w:val="en-US" w:eastAsia="zh-CN"/>
        </w:rPr>
        <w:t>19.(    )干菜经过干制，由于脱水，故维生素C的损失相当严重。</w:t>
      </w:r>
    </w:p>
    <w:p>
      <w:pPr>
        <w:rPr>
          <w:rFonts w:hint="eastAsia"/>
          <w:color w:val="auto"/>
          <w:sz w:val="24"/>
          <w:szCs w:val="24"/>
          <w:lang w:val="en-US" w:eastAsia="zh-CN"/>
        </w:rPr>
      </w:pPr>
      <w:r>
        <w:rPr>
          <w:rFonts w:hint="eastAsia"/>
          <w:color w:val="auto"/>
          <w:sz w:val="24"/>
          <w:szCs w:val="24"/>
          <w:lang w:val="en-US" w:eastAsia="zh-CN"/>
        </w:rPr>
        <w:t>20.(    )食品卫生法中对食品.食品添加剂.食品容器.食品包装物.食品工用具和设备的卫生均提出了要求。</w:t>
      </w:r>
    </w:p>
    <w:p>
      <w:pPr>
        <w:pStyle w:val="2"/>
        <w:rPr>
          <w:rFonts w:hint="eastAsia"/>
          <w:lang w:val="en-US" w:eastAsia="zh-CN"/>
        </w:rPr>
      </w:pPr>
    </w:p>
    <w:p>
      <w:pPr>
        <w:pStyle w:val="2"/>
        <w:ind w:left="0" w:leftChars="0" w:firstLine="0" w:firstLineChars="0"/>
        <w:jc w:val="center"/>
        <w:rPr>
          <w:rFonts w:hint="eastAsia"/>
          <w:b/>
          <w:bCs/>
          <w:sz w:val="24"/>
          <w:szCs w:val="32"/>
          <w:lang w:val="en-US" w:eastAsia="zh-CN"/>
        </w:rPr>
      </w:pPr>
      <w:r>
        <w:rPr>
          <w:rFonts w:hint="eastAsia"/>
          <w:b/>
          <w:bCs/>
          <w:sz w:val="24"/>
          <w:szCs w:val="32"/>
          <w:lang w:val="en-US" w:eastAsia="zh-CN"/>
        </w:rPr>
        <w:t>题库答案</w:t>
      </w:r>
    </w:p>
    <w:p>
      <w:pPr>
        <w:pStyle w:val="2"/>
        <w:widowControl w:val="0"/>
        <w:numPr>
          <w:ilvl w:val="0"/>
          <w:numId w:val="0"/>
        </w:numPr>
        <w:spacing w:after="120" w:afterLines="0" w:afterAutospacing="0" w:line="460" w:lineRule="exact"/>
        <w:jc w:val="left"/>
        <w:rPr>
          <w:rFonts w:hint="eastAsia" w:ascii="宋体" w:cs="宋体"/>
          <w:sz w:val="24"/>
          <w:szCs w:val="24"/>
          <w:lang w:val="en-US" w:eastAsia="zh-CN"/>
        </w:rPr>
      </w:pPr>
      <w:r>
        <w:rPr>
          <w:rFonts w:hint="eastAsia" w:ascii="宋体" w:cs="宋体"/>
          <w:sz w:val="24"/>
          <w:szCs w:val="24"/>
          <w:lang w:val="en-US" w:eastAsia="zh-CN"/>
        </w:rPr>
        <w:t>一选择题</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1-10;ACBABDBBDC</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11-20;DACADDBCBA</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21-30;DCCABCADBB</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31-40;CBCCBBAACA</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41-50;CADDBAAACD</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51-60;BBACADADAA</w:t>
      </w:r>
    </w:p>
    <w:p>
      <w:pPr>
        <w:pStyle w:val="2"/>
        <w:widowControl w:val="0"/>
        <w:numPr>
          <w:ilvl w:val="0"/>
          <w:numId w:val="0"/>
        </w:numPr>
        <w:spacing w:after="120" w:afterLines="0" w:afterAutospacing="0" w:line="460" w:lineRule="exact"/>
        <w:jc w:val="left"/>
        <w:rPr>
          <w:rFonts w:hint="default" w:ascii="宋体" w:cs="宋体"/>
          <w:sz w:val="24"/>
          <w:szCs w:val="24"/>
          <w:lang w:val="en-US" w:eastAsia="zh-CN"/>
        </w:rPr>
      </w:pPr>
      <w:r>
        <w:rPr>
          <w:rFonts w:hint="eastAsia" w:ascii="宋体" w:cs="宋体"/>
          <w:sz w:val="24"/>
          <w:szCs w:val="24"/>
          <w:lang w:val="en-US" w:eastAsia="zh-CN"/>
        </w:rPr>
        <w:t>61-70;AACAAABAAD</w:t>
      </w:r>
    </w:p>
    <w:p>
      <w:pPr>
        <w:pStyle w:val="2"/>
        <w:widowControl w:val="0"/>
        <w:numPr>
          <w:ilvl w:val="0"/>
          <w:numId w:val="0"/>
        </w:numPr>
        <w:spacing w:after="120" w:afterLines="0" w:afterAutospacing="0" w:line="460" w:lineRule="exact"/>
        <w:jc w:val="left"/>
        <w:rPr>
          <w:rFonts w:hint="default" w:eastAsiaTheme="minorEastAsia"/>
          <w:b/>
          <w:bCs/>
          <w:sz w:val="24"/>
          <w:szCs w:val="32"/>
          <w:lang w:val="en-US" w:eastAsia="zh-CN"/>
        </w:rPr>
      </w:pPr>
      <w:r>
        <w:rPr>
          <w:rFonts w:hint="eastAsia" w:ascii="宋体" w:cs="宋体"/>
          <w:sz w:val="24"/>
          <w:szCs w:val="24"/>
          <w:lang w:val="en-US" w:eastAsia="zh-CN"/>
        </w:rPr>
        <w:t>71-80</w:t>
      </w:r>
      <w:r>
        <w:rPr>
          <w:rFonts w:ascii="宋体" w:cs="宋体"/>
          <w:sz w:val="24"/>
          <w:szCs w:val="24"/>
        </w:rPr>
        <w:t xml:space="preserve"> </w:t>
      </w:r>
      <w:r>
        <w:rPr>
          <w:rFonts w:hint="eastAsia" w:ascii="宋体" w:cs="宋体"/>
          <w:sz w:val="24"/>
          <w:szCs w:val="24"/>
          <w:lang w:val="en-US" w:eastAsia="zh-CN"/>
        </w:rPr>
        <w:t>;ADDCDDDACD</w:t>
      </w:r>
    </w:p>
    <w:p>
      <w:pPr>
        <w:pStyle w:val="2"/>
        <w:widowControl w:val="0"/>
        <w:numPr>
          <w:ilvl w:val="0"/>
          <w:numId w:val="0"/>
        </w:numPr>
        <w:spacing w:after="120" w:afterLines="0" w:afterAutospacing="0" w:line="460" w:lineRule="exact"/>
        <w:jc w:val="left"/>
        <w:rPr>
          <w:rFonts w:hint="default" w:ascii="宋体" w:cs="宋体"/>
          <w:b/>
          <w:bCs/>
          <w:sz w:val="24"/>
          <w:szCs w:val="24"/>
          <w:lang w:val="en-US" w:eastAsia="zh-CN"/>
        </w:rPr>
      </w:pPr>
      <w:r>
        <w:rPr>
          <w:rFonts w:hint="eastAsia" w:ascii="宋体" w:cs="宋体"/>
          <w:b/>
          <w:bCs/>
          <w:sz w:val="24"/>
          <w:szCs w:val="24"/>
          <w:lang w:val="en-US" w:eastAsia="zh-CN"/>
        </w:rPr>
        <w:t>判断题</w:t>
      </w:r>
    </w:p>
    <w:p>
      <w:pPr>
        <w:pStyle w:val="2"/>
        <w:widowControl w:val="0"/>
        <w:numPr>
          <w:ilvl w:val="0"/>
          <w:numId w:val="0"/>
        </w:numPr>
        <w:spacing w:after="120" w:afterLines="0" w:afterAutospacing="0" w:line="460" w:lineRule="exact"/>
        <w:jc w:val="left"/>
        <w:rPr>
          <w:rFonts w:hint="default" w:ascii="宋体" w:cs="宋体"/>
          <w:b/>
          <w:bCs/>
          <w:sz w:val="24"/>
          <w:szCs w:val="24"/>
          <w:lang w:val="en-US" w:eastAsia="zh-CN"/>
        </w:rPr>
      </w:pPr>
      <w:r>
        <w:rPr>
          <w:rFonts w:hint="eastAsia" w:ascii="宋体" w:cs="宋体"/>
          <w:b/>
          <w:bCs/>
          <w:sz w:val="24"/>
          <w:szCs w:val="24"/>
          <w:lang w:val="en-US" w:eastAsia="zh-CN"/>
        </w:rPr>
        <w:t>1-10;CCDBAADBCD</w:t>
      </w:r>
    </w:p>
    <w:p>
      <w:pPr>
        <w:pStyle w:val="2"/>
        <w:widowControl w:val="0"/>
        <w:numPr>
          <w:ilvl w:val="0"/>
          <w:numId w:val="0"/>
        </w:numPr>
        <w:spacing w:after="120" w:afterLines="0" w:afterAutospacing="0" w:line="460" w:lineRule="exact"/>
        <w:jc w:val="left"/>
        <w:rPr>
          <w:rFonts w:hint="default" w:ascii="宋体" w:cs="宋体"/>
          <w:b/>
          <w:bCs/>
          <w:sz w:val="24"/>
          <w:szCs w:val="24"/>
          <w:lang w:val="en-US" w:eastAsia="zh-CN"/>
        </w:rPr>
      </w:pPr>
      <w:r>
        <w:rPr>
          <w:rFonts w:hint="eastAsia" w:ascii="宋体" w:cs="宋体"/>
          <w:b/>
          <w:bCs/>
          <w:sz w:val="24"/>
          <w:szCs w:val="24"/>
          <w:lang w:val="en-US" w:eastAsia="zh-CN"/>
        </w:rPr>
        <w:t>11-20</w:t>
      </w:r>
      <w:bookmarkStart w:id="0" w:name="_GoBack"/>
      <w:bookmarkEnd w:id="0"/>
      <w:r>
        <w:rPr>
          <w:rFonts w:hint="eastAsia" w:ascii="宋体" w:cs="宋体"/>
          <w:b/>
          <w:bCs/>
          <w:sz w:val="24"/>
          <w:szCs w:val="24"/>
          <w:lang w:val="en-US" w:eastAsia="zh-CN"/>
        </w:rPr>
        <w:t>;CCDDDCBCDC</w:t>
      </w:r>
    </w:p>
    <w:p>
      <w:pPr>
        <w:pStyle w:val="2"/>
        <w:widowControl w:val="0"/>
        <w:numPr>
          <w:ilvl w:val="0"/>
          <w:numId w:val="0"/>
        </w:numPr>
        <w:spacing w:after="120" w:afterLines="0" w:afterAutospacing="0" w:line="460" w:lineRule="exact"/>
        <w:jc w:val="left"/>
        <w:rPr>
          <w:rFonts w:hint="eastAsia"/>
          <w:b/>
          <w:bCs/>
          <w:sz w:val="24"/>
          <w:szCs w:val="32"/>
          <w:lang w:val="en-US" w:eastAsia="zh-CN"/>
        </w:rPr>
      </w:pPr>
    </w:p>
    <w:p>
      <w:pPr>
        <w:pStyle w:val="2"/>
        <w:numPr>
          <w:ilvl w:val="0"/>
          <w:numId w:val="0"/>
        </w:numPr>
        <w:rPr>
          <w:rFonts w:hint="eastAsia" w:ascii="宋体" w:cs="宋体"/>
          <w:sz w:val="24"/>
          <w:szCs w:val="24"/>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2B854165"/>
    <w:rsid w:val="0C033AB3"/>
    <w:rsid w:val="2B854165"/>
    <w:rsid w:val="65AD15FA"/>
    <w:rsid w:val="7288636C"/>
    <w:rsid w:val="7BAB0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character" w:customStyle="1" w:styleId="7">
    <w:name w:val="标题 1 字符"/>
    <w:link w:val="4"/>
    <w:qFormat/>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2023-02-09T10:38:00Z</dcterms:created>
  <dc:creator>一花一世界</dc:creator>
  <cp:lastModifiedBy>一花一世界</cp:lastModifiedBy>
  <dcterms:modified xsi:type="dcterms:W3CDTF">2023-02-13T03:37:40Z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226690C86B014AB6A5AF0B990AE9D20F</vt:lpwstr>
  </property>
</Properties>
</file>